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5F72" w14:textId="28B40A07" w:rsidR="00DB4C4D" w:rsidRPr="002027A8" w:rsidRDefault="00DB4C4D" w:rsidP="00AA79F9">
      <w:pPr>
        <w:pStyle w:val="ListParagraph"/>
        <w:numPr>
          <w:ilvl w:val="0"/>
          <w:numId w:val="5"/>
        </w:numPr>
        <w:spacing w:line="240" w:lineRule="auto"/>
        <w:rPr>
          <w:rFonts w:ascii="Times New Roman" w:hAnsi="Times New Roman" w:cs="Times New Roman"/>
        </w:rPr>
      </w:pPr>
      <w:r w:rsidRPr="00D21BDB">
        <w:rPr>
          <w:rFonts w:ascii="Times New Roman" w:hAnsi="Times New Roman" w:cs="Times New Roman"/>
          <w:b/>
          <w:bCs/>
          <w:color w:val="0070C0"/>
          <w:u w:val="single"/>
        </w:rPr>
        <w:t xml:space="preserve">OIA fiscally monitors the </w:t>
      </w:r>
      <w:r w:rsidR="00782B8B">
        <w:rPr>
          <w:rFonts w:ascii="Times New Roman" w:hAnsi="Times New Roman" w:cs="Times New Roman"/>
          <w:b/>
          <w:bCs/>
          <w:color w:val="0070C0"/>
          <w:u w:val="single"/>
        </w:rPr>
        <w:t>L</w:t>
      </w:r>
      <w:r w:rsidRPr="00D21BDB">
        <w:rPr>
          <w:rFonts w:ascii="Times New Roman" w:hAnsi="Times New Roman" w:cs="Times New Roman"/>
          <w:b/>
          <w:bCs/>
          <w:color w:val="0070C0"/>
          <w:u w:val="single"/>
        </w:rPr>
        <w:t>WDB</w:t>
      </w:r>
      <w:r w:rsidRPr="00D21BDB">
        <w:rPr>
          <w:rFonts w:ascii="Times New Roman" w:hAnsi="Times New Roman" w:cs="Times New Roman"/>
          <w:color w:val="0070C0"/>
        </w:rPr>
        <w:t xml:space="preserve"> </w:t>
      </w:r>
      <w:r w:rsidRPr="00D21BDB">
        <w:rPr>
          <w:rFonts w:ascii="Times New Roman" w:hAnsi="Times New Roman" w:cs="Times New Roman"/>
        </w:rPr>
        <w:t xml:space="preserve">- </w:t>
      </w:r>
      <w:r w:rsidRPr="00D21BDB">
        <w:rPr>
          <w:rFonts w:ascii="Times New Roman" w:hAnsi="Times New Roman" w:cs="Times New Roman"/>
          <w:i/>
          <w:iCs/>
        </w:rPr>
        <w:t xml:space="preserve">We don't have a fixed monitoring schedule. Our monitoring schedule is fluid, and we conduct a full monitoring every year. Currently, we are conducting our second round. For any of the WDBs we haven't reached out to yet, we plan to do so sometime during the second half of the year. </w:t>
      </w:r>
    </w:p>
    <w:p w14:paraId="6CC4BEF0" w14:textId="77777777" w:rsidR="002027A8" w:rsidRPr="00D21BDB" w:rsidRDefault="002027A8" w:rsidP="002027A8">
      <w:pPr>
        <w:pStyle w:val="ListParagraph"/>
        <w:spacing w:line="240" w:lineRule="auto"/>
        <w:rPr>
          <w:rFonts w:ascii="Times New Roman" w:hAnsi="Times New Roman" w:cs="Times New Roman"/>
        </w:rPr>
      </w:pPr>
    </w:p>
    <w:p w14:paraId="68625E66" w14:textId="46D37428" w:rsidR="00EB65BE" w:rsidRPr="00EB65BE" w:rsidRDefault="007333EA" w:rsidP="00EB65BE">
      <w:pPr>
        <w:pStyle w:val="ListParagraph"/>
        <w:numPr>
          <w:ilvl w:val="0"/>
          <w:numId w:val="5"/>
        </w:numPr>
        <w:spacing w:line="240" w:lineRule="auto"/>
        <w:rPr>
          <w:rFonts w:ascii="Times New Roman" w:hAnsi="Times New Roman" w:cs="Times New Roman"/>
          <w:b/>
          <w:bCs/>
        </w:rPr>
      </w:pPr>
      <w:r w:rsidRPr="00D21BDB">
        <w:rPr>
          <w:rFonts w:ascii="Times New Roman" w:hAnsi="Times New Roman" w:cs="Times New Roman"/>
          <w:b/>
          <w:bCs/>
        </w:rPr>
        <w:t>Common findings</w:t>
      </w:r>
      <w:r w:rsidR="00DE103E" w:rsidRPr="00D21BDB">
        <w:rPr>
          <w:rFonts w:ascii="Times New Roman" w:hAnsi="Times New Roman" w:cs="Times New Roman"/>
          <w:b/>
          <w:bCs/>
        </w:rPr>
        <w:t>/areas of concerns</w:t>
      </w:r>
      <w:r w:rsidRPr="00D21BDB">
        <w:rPr>
          <w:rFonts w:ascii="Times New Roman" w:hAnsi="Times New Roman" w:cs="Times New Roman"/>
          <w:b/>
          <w:bCs/>
        </w:rPr>
        <w:t xml:space="preserve"> </w:t>
      </w:r>
      <w:r w:rsidR="002027A8">
        <w:rPr>
          <w:rFonts w:ascii="Times New Roman" w:hAnsi="Times New Roman" w:cs="Times New Roman"/>
          <w:b/>
          <w:bCs/>
        </w:rPr>
        <w:t xml:space="preserve">from last year </w:t>
      </w:r>
      <w:r w:rsidR="00540A8E" w:rsidRPr="00D21BDB">
        <w:rPr>
          <w:rFonts w:ascii="Times New Roman" w:hAnsi="Times New Roman" w:cs="Times New Roman"/>
          <w:b/>
          <w:bCs/>
        </w:rPr>
        <w:t>SFY</w:t>
      </w:r>
      <w:r w:rsidR="00896AC5" w:rsidRPr="00D21BDB">
        <w:rPr>
          <w:rFonts w:ascii="Times New Roman" w:hAnsi="Times New Roman" w:cs="Times New Roman"/>
          <w:b/>
          <w:bCs/>
        </w:rPr>
        <w:t>2024</w:t>
      </w:r>
      <w:r w:rsidR="002027A8">
        <w:rPr>
          <w:rFonts w:ascii="Times New Roman" w:hAnsi="Times New Roman" w:cs="Times New Roman"/>
          <w:b/>
          <w:bCs/>
        </w:rPr>
        <w:t xml:space="preserve"> fiscal monitoring</w:t>
      </w:r>
      <w:r w:rsidR="00896AC5" w:rsidRPr="00D21BDB">
        <w:rPr>
          <w:rFonts w:ascii="Times New Roman" w:hAnsi="Times New Roman" w:cs="Times New Roman"/>
          <w:b/>
          <w:bCs/>
        </w:rPr>
        <w:t>:</w:t>
      </w:r>
      <w:r w:rsidR="0050120D" w:rsidRPr="00D21BDB">
        <w:rPr>
          <w:rFonts w:ascii="Times New Roman" w:hAnsi="Times New Roman" w:cs="Times New Roman"/>
          <w:b/>
          <w:bCs/>
          <w:i/>
          <w:iCs/>
        </w:rPr>
        <w:t xml:space="preserve"> </w:t>
      </w:r>
    </w:p>
    <w:p w14:paraId="421E2093" w14:textId="023C7F82" w:rsidR="003F7BE6" w:rsidRPr="00EB65BE" w:rsidRDefault="00A414DC" w:rsidP="00EB65BE">
      <w:pPr>
        <w:pStyle w:val="ListParagraph"/>
        <w:numPr>
          <w:ilvl w:val="1"/>
          <w:numId w:val="5"/>
        </w:numPr>
        <w:spacing w:line="240" w:lineRule="auto"/>
        <w:rPr>
          <w:rFonts w:ascii="Times New Roman" w:hAnsi="Times New Roman" w:cs="Times New Roman"/>
          <w:b/>
          <w:bCs/>
        </w:rPr>
      </w:pPr>
      <w:r w:rsidRPr="00EB65BE">
        <w:rPr>
          <w:rFonts w:ascii="Times New Roman" w:hAnsi="Times New Roman" w:cs="Times New Roman"/>
          <w:sz w:val="22"/>
          <w:szCs w:val="22"/>
        </w:rPr>
        <w:t xml:space="preserve">The Local Workforce Development Boards (LWDB) </w:t>
      </w:r>
      <w:r w:rsidR="003F7BE6" w:rsidRPr="00EB65BE">
        <w:rPr>
          <w:rFonts w:ascii="Times New Roman" w:hAnsi="Times New Roman" w:cs="Times New Roman"/>
          <w:sz w:val="22"/>
          <w:szCs w:val="22"/>
        </w:rPr>
        <w:t xml:space="preserve">LWDBs are not doing </w:t>
      </w:r>
      <w:r w:rsidR="00C13F8D" w:rsidRPr="00EB65BE">
        <w:rPr>
          <w:rFonts w:ascii="Times New Roman" w:hAnsi="Times New Roman" w:cs="Times New Roman"/>
          <w:sz w:val="22"/>
          <w:szCs w:val="22"/>
        </w:rPr>
        <w:t>subrecipient</w:t>
      </w:r>
      <w:r w:rsidR="003F7BE6" w:rsidRPr="00EB65BE">
        <w:rPr>
          <w:rFonts w:ascii="Times New Roman" w:hAnsi="Times New Roman" w:cs="Times New Roman"/>
          <w:sz w:val="22"/>
          <w:szCs w:val="22"/>
        </w:rPr>
        <w:t xml:space="preserve"> monitoring</w:t>
      </w:r>
      <w:r w:rsidR="00EB65BE" w:rsidRPr="00EB65BE">
        <w:rPr>
          <w:rFonts w:ascii="Times New Roman" w:hAnsi="Times New Roman" w:cs="Times New Roman"/>
          <w:sz w:val="22"/>
          <w:szCs w:val="22"/>
        </w:rPr>
        <w:t>.</w:t>
      </w:r>
      <w:r w:rsidR="003F7BE6" w:rsidRPr="00EB65BE">
        <w:rPr>
          <w:rFonts w:ascii="Times New Roman" w:hAnsi="Times New Roman" w:cs="Times New Roman"/>
          <w:sz w:val="22"/>
          <w:szCs w:val="22"/>
        </w:rPr>
        <w:t xml:space="preserve"> </w:t>
      </w:r>
      <w:r w:rsidR="00EB65BE" w:rsidRPr="00EB65BE">
        <w:rPr>
          <w:rFonts w:ascii="Times New Roman" w:hAnsi="Times New Roman" w:cs="Times New Roman"/>
          <w:b/>
          <w:bCs/>
          <w:i/>
          <w:iCs/>
        </w:rPr>
        <w:t>LWDBs should be monitoring the subrecipients.</w:t>
      </w:r>
    </w:p>
    <w:p w14:paraId="2A268441" w14:textId="4B081E17" w:rsidR="007D092B" w:rsidRPr="002027A8" w:rsidRDefault="0026090C" w:rsidP="00AA79F9">
      <w:pPr>
        <w:pStyle w:val="ListParagraph"/>
        <w:numPr>
          <w:ilvl w:val="1"/>
          <w:numId w:val="5"/>
        </w:numPr>
        <w:spacing w:line="240" w:lineRule="auto"/>
        <w:rPr>
          <w:rFonts w:ascii="Times New Roman" w:hAnsi="Times New Roman" w:cs="Times New Roman"/>
          <w:sz w:val="22"/>
          <w:szCs w:val="22"/>
        </w:rPr>
      </w:pPr>
      <w:r w:rsidRPr="002027A8">
        <w:rPr>
          <w:rFonts w:ascii="Times New Roman" w:hAnsi="Times New Roman" w:cs="Times New Roman"/>
          <w:sz w:val="22"/>
          <w:szCs w:val="22"/>
        </w:rPr>
        <w:t>There should be a clear structure and separation between the LWDB</w:t>
      </w:r>
      <w:r w:rsidR="00A414DC" w:rsidRPr="002027A8">
        <w:rPr>
          <w:rFonts w:ascii="Times New Roman" w:hAnsi="Times New Roman" w:cs="Times New Roman"/>
          <w:sz w:val="22"/>
          <w:szCs w:val="22"/>
        </w:rPr>
        <w:t>s</w:t>
      </w:r>
      <w:r w:rsidRPr="002027A8">
        <w:rPr>
          <w:rFonts w:ascii="Times New Roman" w:hAnsi="Times New Roman" w:cs="Times New Roman"/>
          <w:sz w:val="22"/>
          <w:szCs w:val="22"/>
        </w:rPr>
        <w:t xml:space="preserve">, career services/one-stop centers, and the Fiscal Agent. </w:t>
      </w:r>
      <w:r w:rsidRPr="002027A8">
        <w:rPr>
          <w:rFonts w:ascii="Times New Roman" w:hAnsi="Times New Roman" w:cs="Times New Roman"/>
          <w:i/>
          <w:iCs/>
          <w:sz w:val="22"/>
          <w:szCs w:val="22"/>
        </w:rPr>
        <w:t>The LWDBs</w:t>
      </w:r>
      <w:r w:rsidR="0090367B" w:rsidRPr="002027A8">
        <w:rPr>
          <w:rFonts w:ascii="Times New Roman" w:hAnsi="Times New Roman" w:cs="Times New Roman"/>
          <w:i/>
          <w:iCs/>
          <w:sz w:val="22"/>
          <w:szCs w:val="22"/>
        </w:rPr>
        <w:t>/</w:t>
      </w:r>
      <w:r w:rsidRPr="002027A8">
        <w:rPr>
          <w:rFonts w:ascii="Times New Roman" w:hAnsi="Times New Roman" w:cs="Times New Roman"/>
          <w:i/>
          <w:iCs/>
          <w:sz w:val="22"/>
          <w:szCs w:val="22"/>
        </w:rPr>
        <w:t>fiscal agents are responsible for submitting reports and completing the drawdowns</w:t>
      </w:r>
      <w:r w:rsidR="000244B2" w:rsidRPr="002027A8">
        <w:rPr>
          <w:rFonts w:ascii="Times New Roman" w:hAnsi="Times New Roman" w:cs="Times New Roman"/>
          <w:b/>
          <w:bCs/>
          <w:i/>
          <w:iCs/>
          <w:sz w:val="22"/>
          <w:szCs w:val="22"/>
        </w:rPr>
        <w:t>.</w:t>
      </w:r>
      <w:r w:rsidR="00C348EA" w:rsidRPr="002027A8">
        <w:rPr>
          <w:rFonts w:ascii="Times New Roman" w:hAnsi="Times New Roman" w:cs="Times New Roman"/>
          <w:sz w:val="22"/>
          <w:szCs w:val="22"/>
        </w:rPr>
        <w:t xml:space="preserve"> </w:t>
      </w:r>
    </w:p>
    <w:p w14:paraId="44B773DC" w14:textId="6EFCA117" w:rsidR="00422B5F" w:rsidRPr="002027A8" w:rsidRDefault="00341C9A" w:rsidP="00AA79F9">
      <w:pPr>
        <w:pStyle w:val="ListParagraph"/>
        <w:numPr>
          <w:ilvl w:val="1"/>
          <w:numId w:val="5"/>
        </w:numPr>
        <w:spacing w:line="240" w:lineRule="auto"/>
        <w:rPr>
          <w:rFonts w:ascii="Times New Roman" w:hAnsi="Times New Roman" w:cs="Times New Roman"/>
          <w:sz w:val="22"/>
          <w:szCs w:val="22"/>
        </w:rPr>
      </w:pPr>
      <w:r w:rsidRPr="002027A8">
        <w:rPr>
          <w:rFonts w:ascii="Times New Roman" w:hAnsi="Times New Roman" w:cs="Times New Roman"/>
          <w:sz w:val="22"/>
          <w:szCs w:val="22"/>
        </w:rPr>
        <w:t>Lack</w:t>
      </w:r>
      <w:r w:rsidR="00A826B3" w:rsidRPr="002027A8">
        <w:rPr>
          <w:rFonts w:ascii="Times New Roman" w:hAnsi="Times New Roman" w:cs="Times New Roman"/>
          <w:sz w:val="22"/>
          <w:szCs w:val="22"/>
        </w:rPr>
        <w:t xml:space="preserve"> of separate CAP </w:t>
      </w:r>
      <w:r w:rsidRPr="002027A8">
        <w:rPr>
          <w:rFonts w:ascii="Times New Roman" w:hAnsi="Times New Roman" w:cs="Times New Roman"/>
          <w:sz w:val="22"/>
          <w:szCs w:val="22"/>
        </w:rPr>
        <w:t>for LWDB</w:t>
      </w:r>
      <w:r w:rsidR="008105FD" w:rsidRPr="002027A8">
        <w:rPr>
          <w:rFonts w:ascii="Times New Roman" w:hAnsi="Times New Roman" w:cs="Times New Roman"/>
          <w:sz w:val="22"/>
          <w:szCs w:val="22"/>
        </w:rPr>
        <w:t>s</w:t>
      </w:r>
    </w:p>
    <w:p w14:paraId="1A5DE350" w14:textId="73515E92" w:rsidR="00411FA4" w:rsidRPr="002027A8" w:rsidRDefault="0018276D" w:rsidP="00AA79F9">
      <w:pPr>
        <w:pStyle w:val="ListParagraph"/>
        <w:numPr>
          <w:ilvl w:val="1"/>
          <w:numId w:val="5"/>
        </w:numPr>
        <w:spacing w:line="240" w:lineRule="auto"/>
        <w:rPr>
          <w:rFonts w:ascii="Times New Roman" w:hAnsi="Times New Roman" w:cs="Times New Roman"/>
          <w:sz w:val="22"/>
          <w:szCs w:val="22"/>
        </w:rPr>
      </w:pPr>
      <w:r w:rsidRPr="002027A8">
        <w:rPr>
          <w:rFonts w:ascii="Times New Roman" w:hAnsi="Times New Roman" w:cs="Times New Roman"/>
          <w:sz w:val="22"/>
          <w:szCs w:val="22"/>
        </w:rPr>
        <w:t xml:space="preserve">Accrual tracking </w:t>
      </w:r>
      <w:r w:rsidR="008105FD" w:rsidRPr="002027A8">
        <w:rPr>
          <w:rFonts w:ascii="Times New Roman" w:hAnsi="Times New Roman" w:cs="Times New Roman"/>
          <w:sz w:val="22"/>
          <w:szCs w:val="22"/>
        </w:rPr>
        <w:t>issues</w:t>
      </w:r>
      <w:r w:rsidRPr="002027A8">
        <w:rPr>
          <w:rFonts w:ascii="Times New Roman" w:hAnsi="Times New Roman" w:cs="Times New Roman"/>
          <w:sz w:val="22"/>
          <w:szCs w:val="22"/>
        </w:rPr>
        <w:t xml:space="preserve">– most </w:t>
      </w:r>
      <w:r w:rsidR="007550EC" w:rsidRPr="002027A8">
        <w:rPr>
          <w:rFonts w:ascii="Times New Roman" w:hAnsi="Times New Roman" w:cs="Times New Roman"/>
          <w:sz w:val="22"/>
          <w:szCs w:val="22"/>
        </w:rPr>
        <w:t xml:space="preserve">are </w:t>
      </w:r>
      <w:r w:rsidRPr="002027A8">
        <w:rPr>
          <w:rFonts w:ascii="Times New Roman" w:hAnsi="Times New Roman" w:cs="Times New Roman"/>
          <w:sz w:val="22"/>
          <w:szCs w:val="22"/>
        </w:rPr>
        <w:t>report</w:t>
      </w:r>
      <w:r w:rsidR="007550EC" w:rsidRPr="002027A8">
        <w:rPr>
          <w:rFonts w:ascii="Times New Roman" w:hAnsi="Times New Roman" w:cs="Times New Roman"/>
          <w:sz w:val="22"/>
          <w:szCs w:val="22"/>
        </w:rPr>
        <w:t>ing</w:t>
      </w:r>
      <w:r w:rsidRPr="002027A8">
        <w:rPr>
          <w:rFonts w:ascii="Times New Roman" w:hAnsi="Times New Roman" w:cs="Times New Roman"/>
          <w:sz w:val="22"/>
          <w:szCs w:val="22"/>
        </w:rPr>
        <w:t xml:space="preserve"> on cash basis, lack of tracking payables and obligations </w:t>
      </w:r>
    </w:p>
    <w:p w14:paraId="34059D49" w14:textId="500984A4" w:rsidR="00821E34" w:rsidRPr="002027A8" w:rsidRDefault="00821E34" w:rsidP="00AA79F9">
      <w:pPr>
        <w:pStyle w:val="ListParagraph"/>
        <w:numPr>
          <w:ilvl w:val="1"/>
          <w:numId w:val="5"/>
        </w:numPr>
        <w:spacing w:line="240" w:lineRule="auto"/>
        <w:rPr>
          <w:rFonts w:ascii="Times New Roman" w:hAnsi="Times New Roman" w:cs="Times New Roman"/>
          <w:sz w:val="22"/>
          <w:szCs w:val="22"/>
        </w:rPr>
      </w:pPr>
      <w:r w:rsidRPr="002027A8">
        <w:rPr>
          <w:rFonts w:ascii="Times New Roman" w:hAnsi="Times New Roman" w:cs="Times New Roman"/>
          <w:sz w:val="22"/>
          <w:szCs w:val="22"/>
        </w:rPr>
        <w:t xml:space="preserve">Area of concern – </w:t>
      </w:r>
      <w:r w:rsidR="00DA3504" w:rsidRPr="002027A8">
        <w:rPr>
          <w:rFonts w:ascii="Times New Roman" w:hAnsi="Times New Roman" w:cs="Times New Roman"/>
          <w:sz w:val="22"/>
          <w:szCs w:val="22"/>
        </w:rPr>
        <w:t xml:space="preserve">lacking a </w:t>
      </w:r>
      <w:r w:rsidRPr="002027A8">
        <w:rPr>
          <w:rFonts w:ascii="Times New Roman" w:hAnsi="Times New Roman" w:cs="Times New Roman"/>
          <w:sz w:val="22"/>
          <w:szCs w:val="22"/>
        </w:rPr>
        <w:t xml:space="preserve">formal subrecipient monitoring program </w:t>
      </w:r>
    </w:p>
    <w:p w14:paraId="73A24A34" w14:textId="104715B9" w:rsidR="00821E34" w:rsidRPr="002027A8" w:rsidRDefault="00821E34" w:rsidP="00AA79F9">
      <w:pPr>
        <w:pStyle w:val="ListParagraph"/>
        <w:numPr>
          <w:ilvl w:val="1"/>
          <w:numId w:val="5"/>
        </w:numPr>
        <w:spacing w:line="240" w:lineRule="auto"/>
        <w:rPr>
          <w:rFonts w:ascii="Times New Roman" w:hAnsi="Times New Roman" w:cs="Times New Roman"/>
          <w:sz w:val="22"/>
          <w:szCs w:val="22"/>
        </w:rPr>
      </w:pPr>
      <w:r w:rsidRPr="002027A8">
        <w:rPr>
          <w:rFonts w:ascii="Times New Roman" w:hAnsi="Times New Roman" w:cs="Times New Roman"/>
          <w:sz w:val="22"/>
          <w:szCs w:val="22"/>
        </w:rPr>
        <w:t xml:space="preserve">Area of concern </w:t>
      </w:r>
      <w:r w:rsidR="00242778" w:rsidRPr="002027A8">
        <w:rPr>
          <w:rFonts w:ascii="Times New Roman" w:hAnsi="Times New Roman" w:cs="Times New Roman"/>
          <w:sz w:val="22"/>
          <w:szCs w:val="22"/>
        </w:rPr>
        <w:t>–</w:t>
      </w:r>
      <w:r w:rsidRPr="002027A8">
        <w:rPr>
          <w:rFonts w:ascii="Times New Roman" w:hAnsi="Times New Roman" w:cs="Times New Roman"/>
          <w:sz w:val="22"/>
          <w:szCs w:val="22"/>
        </w:rPr>
        <w:t xml:space="preserve"> </w:t>
      </w:r>
      <w:r w:rsidR="00242778" w:rsidRPr="002027A8">
        <w:rPr>
          <w:rFonts w:ascii="Times New Roman" w:hAnsi="Times New Roman" w:cs="Times New Roman"/>
          <w:sz w:val="22"/>
          <w:szCs w:val="22"/>
        </w:rPr>
        <w:t xml:space="preserve">lacking </w:t>
      </w:r>
      <w:r w:rsidRPr="002027A8">
        <w:rPr>
          <w:rFonts w:ascii="Times New Roman" w:hAnsi="Times New Roman" w:cs="Times New Roman"/>
          <w:sz w:val="22"/>
          <w:szCs w:val="22"/>
        </w:rPr>
        <w:t xml:space="preserve">formal </w:t>
      </w:r>
      <w:r w:rsidR="00242778" w:rsidRPr="002027A8">
        <w:rPr>
          <w:rFonts w:ascii="Times New Roman" w:hAnsi="Times New Roman" w:cs="Times New Roman"/>
          <w:sz w:val="22"/>
          <w:szCs w:val="22"/>
        </w:rPr>
        <w:t xml:space="preserve">written </w:t>
      </w:r>
      <w:r w:rsidRPr="002027A8">
        <w:rPr>
          <w:rFonts w:ascii="Times New Roman" w:hAnsi="Times New Roman" w:cs="Times New Roman"/>
          <w:sz w:val="22"/>
          <w:szCs w:val="22"/>
        </w:rPr>
        <w:t>policies and procedures</w:t>
      </w:r>
    </w:p>
    <w:p w14:paraId="63323A96" w14:textId="77777777" w:rsidR="00DE103E" w:rsidRPr="00D21BDB" w:rsidRDefault="00DE103E" w:rsidP="00AA79F9">
      <w:pPr>
        <w:pStyle w:val="ListParagraph"/>
        <w:spacing w:line="240" w:lineRule="auto"/>
        <w:ind w:left="1440"/>
        <w:rPr>
          <w:rFonts w:ascii="Times New Roman" w:hAnsi="Times New Roman" w:cs="Times New Roman"/>
        </w:rPr>
      </w:pPr>
    </w:p>
    <w:p w14:paraId="478DDF47" w14:textId="7C3FF083" w:rsidR="00683CE9" w:rsidRPr="00D21BDB" w:rsidRDefault="00683CE9" w:rsidP="00AA79F9">
      <w:pPr>
        <w:pStyle w:val="ListParagraph"/>
        <w:numPr>
          <w:ilvl w:val="0"/>
          <w:numId w:val="5"/>
        </w:numPr>
        <w:spacing w:line="240" w:lineRule="auto"/>
        <w:rPr>
          <w:rFonts w:ascii="Times New Roman" w:hAnsi="Times New Roman" w:cs="Times New Roman"/>
          <w:b/>
          <w:bCs/>
        </w:rPr>
      </w:pPr>
      <w:r w:rsidRPr="00D21BDB">
        <w:rPr>
          <w:rFonts w:ascii="Times New Roman" w:hAnsi="Times New Roman" w:cs="Times New Roman"/>
          <w:b/>
          <w:bCs/>
        </w:rPr>
        <w:t>NJ DOL OIA Monitoring Program Changes from SFY</w:t>
      </w:r>
      <w:r w:rsidRPr="00D21BDB">
        <w:rPr>
          <w:rFonts w:ascii="Times New Roman" w:hAnsi="Times New Roman" w:cs="Times New Roman"/>
          <w:b/>
          <w:bCs/>
          <w:color w:val="0070C0"/>
        </w:rPr>
        <w:t>2024</w:t>
      </w:r>
      <w:r w:rsidRPr="00D21BDB">
        <w:rPr>
          <w:rFonts w:ascii="Times New Roman" w:hAnsi="Times New Roman" w:cs="Times New Roman"/>
          <w:b/>
          <w:bCs/>
        </w:rPr>
        <w:t xml:space="preserve"> to SFY</w:t>
      </w:r>
      <w:r w:rsidRPr="00D21BDB">
        <w:rPr>
          <w:rFonts w:ascii="Times New Roman" w:hAnsi="Times New Roman" w:cs="Times New Roman"/>
          <w:b/>
          <w:bCs/>
          <w:color w:val="0070C0"/>
        </w:rPr>
        <w:t>202</w:t>
      </w:r>
      <w:r w:rsidR="00F427C7" w:rsidRPr="00D21BDB">
        <w:rPr>
          <w:rFonts w:ascii="Times New Roman" w:hAnsi="Times New Roman" w:cs="Times New Roman"/>
          <w:b/>
          <w:bCs/>
          <w:color w:val="0070C0"/>
        </w:rPr>
        <w:t>5</w:t>
      </w:r>
      <w:r w:rsidR="00EB65BE">
        <w:rPr>
          <w:rFonts w:ascii="Times New Roman" w:hAnsi="Times New Roman" w:cs="Times New Roman"/>
          <w:b/>
          <w:bCs/>
        </w:rPr>
        <w:t>:</w:t>
      </w:r>
    </w:p>
    <w:p w14:paraId="0AAA1F03" w14:textId="77777777" w:rsidR="00D614A3" w:rsidRPr="002027A8" w:rsidRDefault="00D614A3" w:rsidP="00AA79F9">
      <w:pPr>
        <w:pStyle w:val="ListParagraph"/>
        <w:numPr>
          <w:ilvl w:val="1"/>
          <w:numId w:val="5"/>
        </w:numPr>
        <w:spacing w:line="240" w:lineRule="auto"/>
        <w:rPr>
          <w:rFonts w:ascii="Times New Roman" w:hAnsi="Times New Roman" w:cs="Times New Roman"/>
        </w:rPr>
      </w:pPr>
      <w:r w:rsidRPr="002027A8">
        <w:rPr>
          <w:rFonts w:ascii="Times New Roman" w:hAnsi="Times New Roman" w:cs="Times New Roman"/>
        </w:rPr>
        <w:t xml:space="preserve">We plan to report findings where we observe non-compliance with the structure or insufficient monitoring of sub-recipients, </w:t>
      </w:r>
      <w:r w:rsidRPr="002027A8">
        <w:rPr>
          <w:rFonts w:ascii="Times New Roman" w:hAnsi="Times New Roman" w:cs="Times New Roman"/>
          <w:i/>
          <w:iCs/>
        </w:rPr>
        <w:t>especially if these were previously noted as areas of concern</w:t>
      </w:r>
    </w:p>
    <w:p w14:paraId="2CD8E30F" w14:textId="482D847F" w:rsidR="00C65110" w:rsidRPr="00D21BDB" w:rsidRDefault="009844E6" w:rsidP="00AA79F9">
      <w:pPr>
        <w:pStyle w:val="ListParagraph"/>
        <w:numPr>
          <w:ilvl w:val="1"/>
          <w:numId w:val="5"/>
        </w:numPr>
        <w:spacing w:line="240" w:lineRule="auto"/>
        <w:rPr>
          <w:rFonts w:ascii="Times New Roman" w:hAnsi="Times New Roman" w:cs="Times New Roman"/>
        </w:rPr>
      </w:pPr>
      <w:r w:rsidRPr="00D21BDB">
        <w:rPr>
          <w:rFonts w:ascii="Times New Roman" w:hAnsi="Times New Roman" w:cs="Times New Roman"/>
        </w:rPr>
        <w:t>Reconciling cumulative</w:t>
      </w:r>
      <w:r w:rsidR="004405BE">
        <w:rPr>
          <w:rFonts w:ascii="Times New Roman" w:hAnsi="Times New Roman" w:cs="Times New Roman"/>
        </w:rPr>
        <w:t>-</w:t>
      </w:r>
      <w:r w:rsidRPr="00D21BDB">
        <w:rPr>
          <w:rFonts w:ascii="Times New Roman" w:hAnsi="Times New Roman" w:cs="Times New Roman"/>
        </w:rPr>
        <w:t>to</w:t>
      </w:r>
      <w:r w:rsidR="004405BE">
        <w:rPr>
          <w:rFonts w:ascii="Times New Roman" w:hAnsi="Times New Roman" w:cs="Times New Roman"/>
        </w:rPr>
        <w:t>-</w:t>
      </w:r>
      <w:r w:rsidRPr="00D21BDB">
        <w:rPr>
          <w:rFonts w:ascii="Times New Roman" w:hAnsi="Times New Roman" w:cs="Times New Roman"/>
        </w:rPr>
        <w:t xml:space="preserve">date total </w:t>
      </w:r>
      <w:r w:rsidR="001737ED" w:rsidRPr="00D21BDB">
        <w:rPr>
          <w:rFonts w:ascii="Times New Roman" w:hAnsi="Times New Roman" w:cs="Times New Roman"/>
        </w:rPr>
        <w:t xml:space="preserve">disbursements </w:t>
      </w:r>
    </w:p>
    <w:p w14:paraId="72EAB993" w14:textId="377D9CCD" w:rsidR="00DE103E" w:rsidRPr="00D21BDB" w:rsidRDefault="007317AD" w:rsidP="00AA79F9">
      <w:pPr>
        <w:pStyle w:val="ListParagraph"/>
        <w:numPr>
          <w:ilvl w:val="1"/>
          <w:numId w:val="5"/>
        </w:numPr>
        <w:spacing w:line="240" w:lineRule="auto"/>
        <w:rPr>
          <w:rFonts w:ascii="Times New Roman" w:hAnsi="Times New Roman" w:cs="Times New Roman"/>
        </w:rPr>
      </w:pPr>
      <w:r w:rsidRPr="00D21BDB">
        <w:rPr>
          <w:rFonts w:ascii="Times New Roman" w:hAnsi="Times New Roman" w:cs="Times New Roman"/>
        </w:rPr>
        <w:t xml:space="preserve">Full year of payroll review </w:t>
      </w:r>
    </w:p>
    <w:p w14:paraId="684E1F79" w14:textId="77777777" w:rsidR="00811986" w:rsidRPr="00D21BDB" w:rsidRDefault="00811986" w:rsidP="00811986">
      <w:pPr>
        <w:pStyle w:val="ListParagraph"/>
        <w:spacing w:line="240" w:lineRule="auto"/>
        <w:ind w:left="1440"/>
        <w:rPr>
          <w:rFonts w:ascii="Times New Roman" w:hAnsi="Times New Roman" w:cs="Times New Roman"/>
        </w:rPr>
      </w:pPr>
    </w:p>
    <w:p w14:paraId="669C5DCC" w14:textId="3027D7F8" w:rsidR="00482730" w:rsidRPr="00D21BDB" w:rsidRDefault="00482730" w:rsidP="00AA79F9">
      <w:pPr>
        <w:pStyle w:val="ListParagraph"/>
        <w:numPr>
          <w:ilvl w:val="0"/>
          <w:numId w:val="5"/>
        </w:numPr>
        <w:spacing w:line="240" w:lineRule="auto"/>
        <w:rPr>
          <w:rFonts w:ascii="Times New Roman" w:hAnsi="Times New Roman" w:cs="Times New Roman"/>
          <w:b/>
          <w:bCs/>
        </w:rPr>
      </w:pPr>
      <w:r w:rsidRPr="00D21BDB">
        <w:rPr>
          <w:rFonts w:ascii="Times New Roman" w:hAnsi="Times New Roman" w:cs="Times New Roman"/>
          <w:b/>
          <w:bCs/>
        </w:rPr>
        <w:t xml:space="preserve">Major changes to </w:t>
      </w:r>
      <w:r w:rsidR="009455C6" w:rsidRPr="00D21BDB">
        <w:rPr>
          <w:rFonts w:ascii="Times New Roman" w:hAnsi="Times New Roman" w:cs="Times New Roman"/>
          <w:b/>
          <w:bCs/>
        </w:rPr>
        <w:t xml:space="preserve">Title 2 </w:t>
      </w:r>
      <w:proofErr w:type="spellStart"/>
      <w:r w:rsidRPr="00D21BDB">
        <w:rPr>
          <w:rFonts w:ascii="Times New Roman" w:hAnsi="Times New Roman" w:cs="Times New Roman"/>
          <w:b/>
          <w:bCs/>
        </w:rPr>
        <w:t>eCFR</w:t>
      </w:r>
      <w:proofErr w:type="spellEnd"/>
      <w:r w:rsidR="009455C6" w:rsidRPr="00D21BDB">
        <w:rPr>
          <w:rFonts w:ascii="Times New Roman" w:hAnsi="Times New Roman" w:cs="Times New Roman"/>
          <w:b/>
          <w:bCs/>
        </w:rPr>
        <w:t xml:space="preserve"> </w:t>
      </w:r>
      <w:r w:rsidR="002027A8">
        <w:rPr>
          <w:rFonts w:ascii="Times New Roman" w:hAnsi="Times New Roman" w:cs="Times New Roman"/>
          <w:b/>
          <w:bCs/>
        </w:rPr>
        <w:t>from October 2024</w:t>
      </w:r>
      <w:r w:rsidRPr="00D21BDB">
        <w:rPr>
          <w:rFonts w:ascii="Times New Roman" w:hAnsi="Times New Roman" w:cs="Times New Roman"/>
          <w:b/>
          <w:bCs/>
        </w:rPr>
        <w:t xml:space="preserve">: </w:t>
      </w:r>
      <w:r w:rsidR="00EB65BE" w:rsidRPr="00DD2241">
        <w:rPr>
          <w:rFonts w:ascii="Times New Roman" w:hAnsi="Times New Roman" w:cs="Times New Roman"/>
          <w:i/>
          <w:iCs/>
        </w:rPr>
        <w:t>(for fiscal years beginning on or after October 1, 2024):</w:t>
      </w:r>
    </w:p>
    <w:p w14:paraId="4DF9B0DE" w14:textId="5D136EB6" w:rsidR="002027A8" w:rsidRPr="002027A8" w:rsidRDefault="009F24BB" w:rsidP="002027A8">
      <w:pPr>
        <w:pStyle w:val="ListParagraph"/>
        <w:numPr>
          <w:ilvl w:val="1"/>
          <w:numId w:val="5"/>
        </w:numPr>
        <w:spacing w:line="240" w:lineRule="auto"/>
        <w:rPr>
          <w:rFonts w:ascii="Times New Roman" w:hAnsi="Times New Roman" w:cs="Times New Roman"/>
        </w:rPr>
      </w:pPr>
      <w:r w:rsidRPr="00D21BDB">
        <w:rPr>
          <w:rFonts w:ascii="Times New Roman" w:hAnsi="Times New Roman" w:cs="Times New Roman"/>
        </w:rPr>
        <w:t>“</w:t>
      </w:r>
      <w:r w:rsidRPr="002027A8">
        <w:rPr>
          <w:rFonts w:ascii="Times New Roman" w:hAnsi="Times New Roman" w:cs="Times New Roman"/>
        </w:rPr>
        <w:t>De Minimis”</w:t>
      </w:r>
      <w:r w:rsidRPr="00D21BDB">
        <w:rPr>
          <w:rFonts w:ascii="Times New Roman" w:hAnsi="Times New Roman" w:cs="Times New Roman"/>
        </w:rPr>
        <w:t xml:space="preserve"> indirect cost</w:t>
      </w:r>
      <w:r w:rsidR="00482730" w:rsidRPr="00D21BDB">
        <w:rPr>
          <w:rFonts w:ascii="Times New Roman" w:hAnsi="Times New Roman" w:cs="Times New Roman"/>
        </w:rPr>
        <w:t xml:space="preserve"> rate – </w:t>
      </w:r>
      <w:r w:rsidR="00641E6C" w:rsidRPr="00D21BDB">
        <w:rPr>
          <w:rFonts w:ascii="Times New Roman" w:hAnsi="Times New Roman" w:cs="Times New Roman"/>
        </w:rPr>
        <w:t xml:space="preserve">increased to </w:t>
      </w:r>
      <w:r w:rsidRPr="00D21BDB">
        <w:rPr>
          <w:rFonts w:ascii="Times New Roman" w:hAnsi="Times New Roman" w:cs="Times New Roman"/>
        </w:rPr>
        <w:t>15%</w:t>
      </w:r>
      <w:r w:rsidR="00D0755E" w:rsidRPr="00D21BDB">
        <w:rPr>
          <w:rFonts w:ascii="Times New Roman" w:hAnsi="Times New Roman" w:cs="Times New Roman"/>
        </w:rPr>
        <w:t xml:space="preserve"> (from 10%)</w:t>
      </w:r>
      <w:r w:rsidR="00FD4101" w:rsidRPr="00D21BDB">
        <w:rPr>
          <w:rFonts w:ascii="Times New Roman" w:hAnsi="Times New Roman" w:cs="Times New Roman"/>
        </w:rPr>
        <w:t xml:space="preserve"> (200.414)</w:t>
      </w:r>
      <w:r w:rsidR="002027A8">
        <w:rPr>
          <w:rFonts w:ascii="Times New Roman" w:hAnsi="Times New Roman" w:cs="Times New Roman"/>
        </w:rPr>
        <w:t xml:space="preserve"> </w:t>
      </w:r>
    </w:p>
    <w:p w14:paraId="431524BB" w14:textId="77777777" w:rsidR="005E3A1C" w:rsidRPr="00D21BDB" w:rsidRDefault="00641E6C" w:rsidP="00AA79F9">
      <w:pPr>
        <w:pStyle w:val="ListParagraph"/>
        <w:numPr>
          <w:ilvl w:val="1"/>
          <w:numId w:val="5"/>
        </w:numPr>
        <w:spacing w:line="240" w:lineRule="auto"/>
        <w:rPr>
          <w:rFonts w:ascii="Times New Roman" w:hAnsi="Times New Roman" w:cs="Times New Roman"/>
        </w:rPr>
      </w:pPr>
      <w:r w:rsidRPr="00D21BDB">
        <w:rPr>
          <w:rFonts w:ascii="Times New Roman" w:hAnsi="Times New Roman" w:cs="Times New Roman"/>
        </w:rPr>
        <w:t>Single Audit threshold – increased to $1,000,000</w:t>
      </w:r>
    </w:p>
    <w:p w14:paraId="149CBA84" w14:textId="7FAF4D23" w:rsidR="003A03B4" w:rsidRPr="00EB65BE" w:rsidRDefault="00076A3F" w:rsidP="00EB65BE">
      <w:pPr>
        <w:spacing w:line="240" w:lineRule="auto"/>
        <w:rPr>
          <w:rFonts w:ascii="Times New Roman" w:hAnsi="Times New Roman" w:cs="Times New Roman"/>
          <w:b/>
          <w:bCs/>
        </w:rPr>
      </w:pPr>
      <w:r w:rsidRPr="00D21BDB">
        <w:rPr>
          <w:rFonts w:ascii="Times New Roman" w:hAnsi="Times New Roman" w:cs="Times New Roman"/>
          <w:b/>
          <w:bCs/>
        </w:rPr>
        <w:t>I</w:t>
      </w:r>
      <w:r w:rsidR="0081647C" w:rsidRPr="00D21BDB">
        <w:rPr>
          <w:rFonts w:ascii="Times New Roman" w:hAnsi="Times New Roman" w:cs="Times New Roman"/>
          <w:b/>
          <w:bCs/>
        </w:rPr>
        <w:t>nformation from USDOL/NJDOL regarding WIOA funding</w:t>
      </w:r>
      <w:r w:rsidR="001737ED" w:rsidRPr="00D21BDB">
        <w:rPr>
          <w:rFonts w:ascii="Times New Roman" w:hAnsi="Times New Roman" w:cs="Times New Roman"/>
          <w:b/>
          <w:bCs/>
        </w:rPr>
        <w:t>:</w:t>
      </w:r>
      <w:r w:rsidR="00EB65BE">
        <w:rPr>
          <w:rFonts w:ascii="Times New Roman" w:hAnsi="Times New Roman" w:cs="Times New Roman"/>
          <w:b/>
          <w:bCs/>
        </w:rPr>
        <w:t xml:space="preserve"> </w:t>
      </w:r>
      <w:r w:rsidR="00A87E8E" w:rsidRPr="00EB65BE">
        <w:rPr>
          <w:rFonts w:ascii="Times New Roman" w:hAnsi="Times New Roman" w:cs="Times New Roman"/>
        </w:rPr>
        <w:t>We haven't received any final word yet, so we are currently operating as if there are no changes. We expect to know more around March 14th</w:t>
      </w:r>
      <w:r w:rsidR="003A03B4" w:rsidRPr="00EB65BE">
        <w:rPr>
          <w:rFonts w:ascii="Times New Roman" w:hAnsi="Times New Roman" w:cs="Times New Roman"/>
        </w:rPr>
        <w:t>.</w:t>
      </w:r>
    </w:p>
    <w:p w14:paraId="47CFC038" w14:textId="4495C8F5" w:rsidR="007F66BF" w:rsidRPr="00A70BBA" w:rsidRDefault="00A5780A" w:rsidP="00AA79F9">
      <w:pPr>
        <w:spacing w:line="240" w:lineRule="auto"/>
        <w:rPr>
          <w:rFonts w:ascii="Times New Roman" w:hAnsi="Times New Roman" w:cs="Times New Roman"/>
          <w:b/>
          <w:bCs/>
          <w:sz w:val="28"/>
          <w:szCs w:val="28"/>
        </w:rPr>
      </w:pPr>
      <w:r w:rsidRPr="00A70BBA">
        <w:rPr>
          <w:rFonts w:ascii="Times New Roman" w:hAnsi="Times New Roman" w:cs="Times New Roman"/>
          <w:b/>
          <w:bCs/>
          <w:sz w:val="28"/>
          <w:szCs w:val="28"/>
        </w:rPr>
        <w:t xml:space="preserve">Other </w:t>
      </w:r>
      <w:r w:rsidR="007F66BF" w:rsidRPr="00A70BBA">
        <w:rPr>
          <w:rFonts w:ascii="Times New Roman" w:hAnsi="Times New Roman" w:cs="Times New Roman"/>
          <w:b/>
          <w:bCs/>
          <w:sz w:val="28"/>
          <w:szCs w:val="28"/>
        </w:rPr>
        <w:t>OIA Notes/Resources</w:t>
      </w:r>
      <w:r w:rsidR="0000401F" w:rsidRPr="00A70BBA">
        <w:rPr>
          <w:rFonts w:ascii="Times New Roman" w:hAnsi="Times New Roman" w:cs="Times New Roman"/>
          <w:b/>
          <w:bCs/>
          <w:sz w:val="28"/>
          <w:szCs w:val="28"/>
        </w:rPr>
        <w:t>:</w:t>
      </w:r>
    </w:p>
    <w:p w14:paraId="1ACB2EE3" w14:textId="5438AD77" w:rsidR="000B40C3" w:rsidRPr="002027A8" w:rsidRDefault="007F66BF" w:rsidP="00AA79F9">
      <w:pPr>
        <w:pStyle w:val="ListParagraph"/>
        <w:numPr>
          <w:ilvl w:val="0"/>
          <w:numId w:val="5"/>
        </w:numPr>
        <w:spacing w:line="240" w:lineRule="auto"/>
        <w:rPr>
          <w:rFonts w:ascii="Times New Roman" w:hAnsi="Times New Roman" w:cs="Times New Roman"/>
          <w:sz w:val="22"/>
          <w:szCs w:val="22"/>
        </w:rPr>
      </w:pPr>
      <w:r w:rsidRPr="002027A8">
        <w:rPr>
          <w:rFonts w:ascii="Times New Roman" w:hAnsi="Times New Roman" w:cs="Times New Roman"/>
          <w:b/>
          <w:bCs/>
          <w:color w:val="0070C0"/>
          <w:sz w:val="22"/>
          <w:szCs w:val="22"/>
        </w:rPr>
        <w:t>OIA Monitoring Program</w:t>
      </w:r>
      <w:r w:rsidRPr="002027A8">
        <w:rPr>
          <w:rFonts w:ascii="Times New Roman" w:hAnsi="Times New Roman" w:cs="Times New Roman"/>
          <w:color w:val="0070C0"/>
          <w:sz w:val="22"/>
          <w:szCs w:val="22"/>
        </w:rPr>
        <w:t xml:space="preserve"> </w:t>
      </w:r>
      <w:r w:rsidRPr="002027A8">
        <w:rPr>
          <w:rFonts w:ascii="Times New Roman" w:hAnsi="Times New Roman" w:cs="Times New Roman"/>
          <w:i/>
          <w:iCs/>
          <w:sz w:val="22"/>
          <w:szCs w:val="22"/>
        </w:rPr>
        <w:t>(Excel Spreadsheet</w:t>
      </w:r>
      <w:r w:rsidR="00522940" w:rsidRPr="002027A8">
        <w:rPr>
          <w:rFonts w:ascii="Times New Roman" w:hAnsi="Times New Roman" w:cs="Times New Roman"/>
          <w:i/>
          <w:iCs/>
          <w:sz w:val="22"/>
          <w:szCs w:val="22"/>
        </w:rPr>
        <w:t xml:space="preserve"> </w:t>
      </w:r>
      <w:r w:rsidR="00811986" w:rsidRPr="002027A8">
        <w:rPr>
          <w:rFonts w:ascii="Times New Roman" w:hAnsi="Times New Roman" w:cs="Times New Roman"/>
          <w:i/>
          <w:iCs/>
          <w:sz w:val="22"/>
          <w:szCs w:val="22"/>
        </w:rPr>
        <w:t>attached</w:t>
      </w:r>
      <w:r w:rsidRPr="002027A8">
        <w:rPr>
          <w:rFonts w:ascii="Times New Roman" w:hAnsi="Times New Roman" w:cs="Times New Roman"/>
          <w:i/>
          <w:iCs/>
          <w:sz w:val="22"/>
          <w:szCs w:val="22"/>
        </w:rPr>
        <w:t>)</w:t>
      </w:r>
    </w:p>
    <w:p w14:paraId="365435EE" w14:textId="5A2D66BC" w:rsidR="007F66BF" w:rsidRPr="00A70BBA" w:rsidRDefault="007F66BF" w:rsidP="007F66BF">
      <w:pPr>
        <w:rPr>
          <w:rFonts w:ascii="Times New Roman" w:hAnsi="Times New Roman" w:cs="Times New Roman"/>
          <w:b/>
          <w:bCs/>
          <w:sz w:val="28"/>
          <w:szCs w:val="28"/>
        </w:rPr>
      </w:pPr>
      <w:r w:rsidRPr="00A70BBA">
        <w:rPr>
          <w:rFonts w:ascii="Times New Roman" w:hAnsi="Times New Roman" w:cs="Times New Roman"/>
          <w:b/>
          <w:bCs/>
          <w:sz w:val="28"/>
          <w:szCs w:val="28"/>
        </w:rPr>
        <w:t>USDOL resources</w:t>
      </w:r>
      <w:r w:rsidR="000B40C3" w:rsidRPr="00A70BBA">
        <w:rPr>
          <w:rFonts w:ascii="Times New Roman" w:hAnsi="Times New Roman" w:cs="Times New Roman"/>
          <w:b/>
          <w:bCs/>
          <w:sz w:val="28"/>
          <w:szCs w:val="28"/>
        </w:rPr>
        <w:t xml:space="preserve"> (previously shared)</w:t>
      </w:r>
      <w:r w:rsidRPr="00A70BBA">
        <w:rPr>
          <w:rFonts w:ascii="Times New Roman" w:hAnsi="Times New Roman" w:cs="Times New Roman"/>
          <w:b/>
          <w:bCs/>
          <w:sz w:val="28"/>
          <w:szCs w:val="28"/>
        </w:rPr>
        <w:t>:</w:t>
      </w:r>
    </w:p>
    <w:p w14:paraId="24801D06" w14:textId="6EC83C92" w:rsidR="002027A8" w:rsidRPr="002027A8" w:rsidRDefault="002027A8" w:rsidP="005C23B1">
      <w:pPr>
        <w:pStyle w:val="ListParagraph"/>
        <w:numPr>
          <w:ilvl w:val="0"/>
          <w:numId w:val="4"/>
        </w:numPr>
        <w:rPr>
          <w:rFonts w:ascii="Times New Roman" w:hAnsi="Times New Roman" w:cs="Times New Roman"/>
          <w:i/>
          <w:iCs/>
          <w:sz w:val="22"/>
          <w:szCs w:val="22"/>
        </w:rPr>
      </w:pPr>
      <w:r>
        <w:rPr>
          <w:rFonts w:ascii="Times New Roman" w:hAnsi="Times New Roman" w:cs="Times New Roman"/>
          <w:b/>
          <w:bCs/>
          <w:color w:val="0070C0"/>
          <w:sz w:val="22"/>
          <w:szCs w:val="22"/>
        </w:rPr>
        <w:t xml:space="preserve">USDOL </w:t>
      </w:r>
      <w:r w:rsidR="00AE3D0B" w:rsidRPr="002027A8">
        <w:rPr>
          <w:rFonts w:ascii="Times New Roman" w:hAnsi="Times New Roman" w:cs="Times New Roman"/>
          <w:b/>
          <w:bCs/>
          <w:color w:val="0070C0"/>
          <w:sz w:val="22"/>
          <w:szCs w:val="22"/>
        </w:rPr>
        <w:t xml:space="preserve">Core Monitoring </w:t>
      </w:r>
      <w:r w:rsidR="00EB65BE">
        <w:rPr>
          <w:rFonts w:ascii="Times New Roman" w:hAnsi="Times New Roman" w:cs="Times New Roman"/>
          <w:b/>
          <w:bCs/>
          <w:color w:val="0070C0"/>
          <w:sz w:val="22"/>
          <w:szCs w:val="22"/>
        </w:rPr>
        <w:t>G</w:t>
      </w:r>
      <w:r w:rsidR="00AE3D0B" w:rsidRPr="002027A8">
        <w:rPr>
          <w:rFonts w:ascii="Times New Roman" w:hAnsi="Times New Roman" w:cs="Times New Roman"/>
          <w:b/>
          <w:bCs/>
          <w:color w:val="0070C0"/>
          <w:sz w:val="22"/>
          <w:szCs w:val="22"/>
        </w:rPr>
        <w:t xml:space="preserve">uide </w:t>
      </w:r>
      <w:r w:rsidRPr="002027A8">
        <w:rPr>
          <w:rFonts w:ascii="Times New Roman" w:hAnsi="Times New Roman" w:cs="Times New Roman"/>
          <w:i/>
          <w:iCs/>
          <w:sz w:val="22"/>
          <w:szCs w:val="22"/>
        </w:rPr>
        <w:t>(attached in email)</w:t>
      </w:r>
    </w:p>
    <w:p w14:paraId="2B8BFE17" w14:textId="0262735E" w:rsidR="005C23B1" w:rsidRPr="002027A8" w:rsidRDefault="002027A8" w:rsidP="005C23B1">
      <w:pPr>
        <w:pStyle w:val="ListParagraph"/>
        <w:numPr>
          <w:ilvl w:val="0"/>
          <w:numId w:val="4"/>
        </w:numPr>
        <w:rPr>
          <w:rFonts w:ascii="Times New Roman" w:hAnsi="Times New Roman" w:cs="Times New Roman"/>
          <w:i/>
          <w:iCs/>
          <w:sz w:val="22"/>
          <w:szCs w:val="22"/>
        </w:rPr>
      </w:pPr>
      <w:r>
        <w:rPr>
          <w:rFonts w:ascii="Times New Roman" w:hAnsi="Times New Roman" w:cs="Times New Roman"/>
          <w:b/>
          <w:bCs/>
          <w:color w:val="0070C0"/>
          <w:sz w:val="22"/>
          <w:szCs w:val="22"/>
        </w:rPr>
        <w:t>Safal Partners</w:t>
      </w:r>
      <w:r w:rsidRPr="002027A8">
        <w:rPr>
          <w:rFonts w:ascii="Times New Roman" w:hAnsi="Times New Roman" w:cs="Times New Roman"/>
          <w:b/>
          <w:bCs/>
          <w:i/>
          <w:iCs/>
          <w:color w:val="0070C0"/>
          <w:sz w:val="22"/>
          <w:szCs w:val="22"/>
        </w:rPr>
        <w:t xml:space="preserve"> </w:t>
      </w:r>
      <w:r w:rsidR="005C23B1" w:rsidRPr="002027A8">
        <w:rPr>
          <w:rFonts w:ascii="Times New Roman" w:hAnsi="Times New Roman" w:cs="Times New Roman"/>
          <w:b/>
          <w:bCs/>
          <w:color w:val="0070C0"/>
          <w:sz w:val="22"/>
          <w:szCs w:val="22"/>
        </w:rPr>
        <w:t>PowerPoint presentation</w:t>
      </w:r>
      <w:r>
        <w:rPr>
          <w:rFonts w:ascii="Times New Roman" w:hAnsi="Times New Roman" w:cs="Times New Roman"/>
          <w:b/>
          <w:bCs/>
          <w:color w:val="0070C0"/>
          <w:sz w:val="22"/>
          <w:szCs w:val="22"/>
        </w:rPr>
        <w:t xml:space="preserve"> on subrecipient monitoring</w:t>
      </w:r>
      <w:r w:rsidR="005C23B1" w:rsidRPr="002027A8">
        <w:rPr>
          <w:rFonts w:ascii="Times New Roman" w:hAnsi="Times New Roman" w:cs="Times New Roman"/>
          <w:i/>
          <w:iCs/>
          <w:sz w:val="22"/>
          <w:szCs w:val="22"/>
        </w:rPr>
        <w:t>– (</w:t>
      </w:r>
      <w:r w:rsidR="0026111D" w:rsidRPr="002027A8">
        <w:rPr>
          <w:rFonts w:ascii="Times New Roman" w:hAnsi="Times New Roman" w:cs="Times New Roman"/>
          <w:i/>
          <w:iCs/>
          <w:sz w:val="22"/>
          <w:szCs w:val="22"/>
        </w:rPr>
        <w:t>attached</w:t>
      </w:r>
      <w:r w:rsidR="00AE3D0B" w:rsidRPr="002027A8">
        <w:rPr>
          <w:rFonts w:ascii="Times New Roman" w:hAnsi="Times New Roman" w:cs="Times New Roman"/>
          <w:i/>
          <w:iCs/>
          <w:sz w:val="22"/>
          <w:szCs w:val="22"/>
        </w:rPr>
        <w:t xml:space="preserve"> in email</w:t>
      </w:r>
      <w:r w:rsidR="0026111D" w:rsidRPr="002027A8">
        <w:rPr>
          <w:rFonts w:ascii="Times New Roman" w:hAnsi="Times New Roman" w:cs="Times New Roman"/>
          <w:i/>
          <w:iCs/>
          <w:sz w:val="22"/>
          <w:szCs w:val="22"/>
        </w:rPr>
        <w:t>)</w:t>
      </w:r>
    </w:p>
    <w:p w14:paraId="57A5BB2F" w14:textId="569EA8A2" w:rsidR="007F66BF" w:rsidRPr="002027A8" w:rsidRDefault="005C23B1" w:rsidP="007F66BF">
      <w:pPr>
        <w:pStyle w:val="ListParagraph"/>
        <w:numPr>
          <w:ilvl w:val="0"/>
          <w:numId w:val="4"/>
        </w:numPr>
        <w:rPr>
          <w:rFonts w:ascii="Times New Roman" w:hAnsi="Times New Roman" w:cs="Times New Roman"/>
          <w:sz w:val="22"/>
          <w:szCs w:val="22"/>
        </w:rPr>
      </w:pPr>
      <w:hyperlink r:id="rId10" w:history="1">
        <w:r w:rsidRPr="002027A8">
          <w:rPr>
            <w:rStyle w:val="Hyperlink"/>
            <w:rFonts w:ascii="Times New Roman" w:hAnsi="Times New Roman" w:cs="Times New Roman"/>
            <w:b/>
            <w:bCs/>
            <w:sz w:val="22"/>
            <w:szCs w:val="22"/>
          </w:rPr>
          <w:t>https://www.dol.gov/agencies/eta/grants/resources</w:t>
        </w:r>
      </w:hyperlink>
      <w:r w:rsidR="007E2C39" w:rsidRPr="002027A8">
        <w:rPr>
          <w:rFonts w:ascii="Times New Roman" w:hAnsi="Times New Roman" w:cs="Times New Roman"/>
          <w:sz w:val="22"/>
          <w:szCs w:val="22"/>
        </w:rPr>
        <w:t xml:space="preserve">  - </w:t>
      </w:r>
      <w:hyperlink r:id="rId11" w:history="1">
        <w:r w:rsidR="007E2C39" w:rsidRPr="002027A8">
          <w:rPr>
            <w:rStyle w:val="Hyperlink"/>
            <w:rFonts w:ascii="Times New Roman" w:hAnsi="Times New Roman" w:cs="Times New Roman"/>
            <w:b/>
            <w:bCs/>
            <w:i/>
            <w:iCs/>
            <w:color w:val="0070C0"/>
            <w:sz w:val="22"/>
            <w:szCs w:val="22"/>
          </w:rPr>
          <w:t>OMB Uniform Guidance</w:t>
        </w:r>
      </w:hyperlink>
      <w:r w:rsidR="0000401F" w:rsidRPr="002027A8">
        <w:rPr>
          <w:rFonts w:ascii="Times New Roman" w:hAnsi="Times New Roman" w:cs="Times New Roman"/>
          <w:i/>
          <w:iCs/>
          <w:color w:val="000000" w:themeColor="text1"/>
          <w:sz w:val="22"/>
          <w:szCs w:val="22"/>
        </w:rPr>
        <w:t xml:space="preserve"> -</w:t>
      </w:r>
      <w:r w:rsidR="007E2C39" w:rsidRPr="002027A8">
        <w:rPr>
          <w:rFonts w:ascii="Times New Roman" w:hAnsi="Times New Roman" w:cs="Times New Roman"/>
          <w:i/>
          <w:iCs/>
          <w:color w:val="000000" w:themeColor="text1"/>
          <w:sz w:val="22"/>
          <w:szCs w:val="22"/>
        </w:rPr>
        <w:t xml:space="preserve"> The Uniform Administrative Requirements, Cost Principles, and Audit Requirements for Federal Awards (Uniform Guidance) at 2 CFR 200 is the first consolidation of grant management requirements </w:t>
      </w:r>
    </w:p>
    <w:p w14:paraId="3E73C28D" w14:textId="26542192" w:rsidR="007F66BF" w:rsidRPr="002027A8" w:rsidRDefault="007F66BF" w:rsidP="007E2C39">
      <w:pPr>
        <w:pStyle w:val="ListParagraph"/>
        <w:numPr>
          <w:ilvl w:val="0"/>
          <w:numId w:val="4"/>
        </w:numPr>
        <w:rPr>
          <w:rFonts w:ascii="Times New Roman" w:hAnsi="Times New Roman" w:cs="Times New Roman"/>
          <w:b/>
          <w:bCs/>
          <w:sz w:val="22"/>
          <w:szCs w:val="22"/>
        </w:rPr>
      </w:pPr>
      <w:hyperlink r:id="rId12" w:history="1">
        <w:r w:rsidRPr="002027A8">
          <w:rPr>
            <w:rStyle w:val="Hyperlink"/>
            <w:rFonts w:ascii="Times New Roman" w:hAnsi="Times New Roman" w:cs="Times New Roman"/>
            <w:b/>
            <w:bCs/>
            <w:color w:val="0070C0"/>
            <w:sz w:val="22"/>
            <w:szCs w:val="22"/>
          </w:rPr>
          <w:t>https://grantsapplicationandmanagement.workforcegps.org/resources/2022/11/16/16/59/SMART</w:t>
        </w:r>
      </w:hyperlink>
      <w:r w:rsidRPr="002027A8">
        <w:rPr>
          <w:rFonts w:ascii="Times New Roman" w:hAnsi="Times New Roman" w:cs="Times New Roman"/>
          <w:color w:val="0070C0"/>
          <w:sz w:val="22"/>
          <w:szCs w:val="22"/>
        </w:rPr>
        <w:t xml:space="preserve"> </w:t>
      </w:r>
      <w:r w:rsidR="007E2C39" w:rsidRPr="002027A8">
        <w:rPr>
          <w:rFonts w:ascii="Times New Roman" w:hAnsi="Times New Roman" w:cs="Times New Roman"/>
          <w:sz w:val="22"/>
          <w:szCs w:val="22"/>
        </w:rPr>
        <w:t xml:space="preserve">- </w:t>
      </w:r>
      <w:r w:rsidR="007E2C39" w:rsidRPr="002027A8">
        <w:rPr>
          <w:rFonts w:ascii="Times New Roman" w:hAnsi="Times New Roman" w:cs="Times New Roman"/>
          <w:b/>
          <w:bCs/>
          <w:color w:val="0070C0"/>
          <w:sz w:val="22"/>
          <w:szCs w:val="22"/>
        </w:rPr>
        <w:t xml:space="preserve">SMART Grants Management Training </w:t>
      </w:r>
      <w:r w:rsidR="007E2C39" w:rsidRPr="002027A8">
        <w:rPr>
          <w:rFonts w:ascii="Times New Roman" w:hAnsi="Times New Roman" w:cs="Times New Roman"/>
          <w:b/>
          <w:bCs/>
          <w:sz w:val="22"/>
          <w:szCs w:val="22"/>
        </w:rPr>
        <w:t xml:space="preserve">- </w:t>
      </w:r>
      <w:r w:rsidR="007E2C39" w:rsidRPr="002027A8">
        <w:rPr>
          <w:rFonts w:ascii="Times New Roman" w:hAnsi="Times New Roman" w:cs="Times New Roman"/>
          <w:b/>
          <w:bCs/>
          <w:i/>
          <w:iCs/>
          <w:sz w:val="22"/>
          <w:szCs w:val="22"/>
        </w:rPr>
        <w:t>SMART is a DOL technical assistance initiative started by ETA’s Office of Grants Management (includes training slides for Monitoring and Oversight)</w:t>
      </w:r>
    </w:p>
    <w:sectPr w:rsidR="007F66BF" w:rsidRPr="002027A8" w:rsidSect="006A5147">
      <w:headerReference w:type="default" r:id="rId13"/>
      <w:footerReference w:type="defaul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0A5A0" w14:textId="77777777" w:rsidR="007F5B02" w:rsidRDefault="007F5B02" w:rsidP="006F4190">
      <w:pPr>
        <w:spacing w:after="0" w:line="240" w:lineRule="auto"/>
      </w:pPr>
      <w:r>
        <w:separator/>
      </w:r>
    </w:p>
  </w:endnote>
  <w:endnote w:type="continuationSeparator" w:id="0">
    <w:p w14:paraId="5DCE3A07" w14:textId="77777777" w:rsidR="007F5B02" w:rsidRDefault="007F5B02" w:rsidP="006F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CF06" w14:textId="77777777" w:rsidR="00292EF1" w:rsidRDefault="00292EF1">
    <w:pPr>
      <w:pStyle w:val="Footer"/>
      <w:jc w:val="right"/>
    </w:pPr>
    <w:r>
      <w:rPr>
        <w:color w:val="156082" w:themeColor="accent1"/>
        <w:sz w:val="20"/>
        <w:szCs w:val="20"/>
      </w:rPr>
      <w:t xml:space="preserve">pg. </w:t>
    </w:r>
    <w:r>
      <w:rPr>
        <w:color w:val="156082" w:themeColor="accent1"/>
        <w:sz w:val="20"/>
        <w:szCs w:val="20"/>
      </w:rPr>
      <w:fldChar w:fldCharType="begin"/>
    </w:r>
    <w:r>
      <w:rPr>
        <w:color w:val="156082" w:themeColor="accent1"/>
        <w:sz w:val="20"/>
        <w:szCs w:val="20"/>
      </w:rPr>
      <w:instrText xml:space="preserve"> PAGE  \* Arabic </w:instrText>
    </w:r>
    <w:r>
      <w:rPr>
        <w:color w:val="156082" w:themeColor="accent1"/>
        <w:sz w:val="20"/>
        <w:szCs w:val="20"/>
      </w:rPr>
      <w:fldChar w:fldCharType="separate"/>
    </w:r>
    <w:r>
      <w:rPr>
        <w:noProof/>
        <w:color w:val="156082" w:themeColor="accent1"/>
        <w:sz w:val="20"/>
        <w:szCs w:val="20"/>
      </w:rPr>
      <w:t>1</w:t>
    </w:r>
    <w:r>
      <w:rPr>
        <w:color w:val="156082" w:themeColor="accent1"/>
        <w:sz w:val="20"/>
        <w:szCs w:val="20"/>
      </w:rPr>
      <w:fldChar w:fldCharType="end"/>
    </w:r>
  </w:p>
  <w:p w14:paraId="2B8C6371" w14:textId="55638A65" w:rsidR="006F4190" w:rsidRDefault="006A5147">
    <w:pPr>
      <w:pStyle w:val="Footer"/>
    </w:pPr>
    <w:r w:rsidRPr="00C70DAB">
      <w:rPr>
        <w:noProof/>
      </w:rPr>
      <w:drawing>
        <wp:inline distT="0" distB="0" distL="0" distR="0" wp14:anchorId="66C12F3D" wp14:editId="1C3E1C3E">
          <wp:extent cx="5867400" cy="726440"/>
          <wp:effectExtent l="0" t="0" r="0" b="0"/>
          <wp:docPr id="719462720"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807817"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t="3" b="3"/>
                  <a:stretch>
                    <a:fillRect/>
                  </a:stretch>
                </pic:blipFill>
                <pic:spPr bwMode="auto">
                  <a:xfrm>
                    <a:off x="0" y="0"/>
                    <a:ext cx="5867400" cy="726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3E394" w14:textId="77777777" w:rsidR="007F5B02" w:rsidRDefault="007F5B02" w:rsidP="006F4190">
      <w:pPr>
        <w:spacing w:after="0" w:line="240" w:lineRule="auto"/>
      </w:pPr>
      <w:r>
        <w:separator/>
      </w:r>
    </w:p>
  </w:footnote>
  <w:footnote w:type="continuationSeparator" w:id="0">
    <w:p w14:paraId="100793AE" w14:textId="77777777" w:rsidR="007F5B02" w:rsidRDefault="007F5B02" w:rsidP="006F4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66B5" w14:textId="4B0DB250" w:rsidR="00A85389" w:rsidRPr="00D871F4" w:rsidRDefault="00A85389" w:rsidP="00D871F4">
    <w:pPr>
      <w:spacing w:line="240" w:lineRule="auto"/>
      <w:rPr>
        <w:rFonts w:ascii="Times New Roman" w:hAnsi="Times New Roman" w:cs="Times New Roman"/>
        <w:b/>
        <w:bCs/>
        <w:color w:val="0070C0"/>
        <w:sz w:val="28"/>
        <w:szCs w:val="28"/>
      </w:rPr>
    </w:pPr>
    <w:r w:rsidRPr="00292EF1">
      <w:rPr>
        <w:rFonts w:ascii="Times New Roman" w:hAnsi="Times New Roman" w:cs="Times New Roman"/>
        <w:b/>
        <w:bCs/>
        <w:color w:val="0070C0"/>
        <w:sz w:val="28"/>
        <w:szCs w:val="28"/>
      </w:rPr>
      <w:t xml:space="preserve">2/19/2025 –GSETA Monitoring Committee Meeting – OIA </w:t>
    </w:r>
    <w:r w:rsidR="00292EF1" w:rsidRPr="00292EF1">
      <w:rPr>
        <w:rFonts w:ascii="Times New Roman" w:hAnsi="Times New Roman" w:cs="Times New Roman"/>
        <w:b/>
        <w:bCs/>
        <w:color w:val="0070C0"/>
        <w:sz w:val="28"/>
        <w:szCs w:val="28"/>
      </w:rPr>
      <w:t xml:space="preserve">NJDOL </w:t>
    </w:r>
    <w:r w:rsidR="002027A8">
      <w:rPr>
        <w:rFonts w:ascii="Times New Roman" w:hAnsi="Times New Roman" w:cs="Times New Roman"/>
        <w:b/>
        <w:bCs/>
        <w:color w:val="0070C0"/>
        <w:sz w:val="28"/>
        <w:szCs w:val="28"/>
      </w:rPr>
      <w:t>Note</w:t>
    </w:r>
    <w:r w:rsidR="00D871F4">
      <w:rPr>
        <w:rFonts w:ascii="Times New Roman" w:hAnsi="Times New Roman" w:cs="Times New Roman"/>
        <w:b/>
        <w:bCs/>
        <w:color w:val="0070C0"/>
        <w:sz w:val="28"/>
        <w:szCs w:val="2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487D"/>
    <w:multiLevelType w:val="hybridMultilevel"/>
    <w:tmpl w:val="3A04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EC17F6"/>
    <w:multiLevelType w:val="hybridMultilevel"/>
    <w:tmpl w:val="7D74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E4419"/>
    <w:multiLevelType w:val="hybridMultilevel"/>
    <w:tmpl w:val="73DAF3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BEC57C3"/>
    <w:multiLevelType w:val="multilevel"/>
    <w:tmpl w:val="40520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5F4C66"/>
    <w:multiLevelType w:val="multilevel"/>
    <w:tmpl w:val="5F4C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D45EC"/>
    <w:multiLevelType w:val="hybridMultilevel"/>
    <w:tmpl w:val="FEE2F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15619">
    <w:abstractNumId w:val="3"/>
  </w:num>
  <w:num w:numId="2" w16cid:durableId="681392098">
    <w:abstractNumId w:val="0"/>
  </w:num>
  <w:num w:numId="3" w16cid:durableId="1711957547">
    <w:abstractNumId w:val="2"/>
  </w:num>
  <w:num w:numId="4" w16cid:durableId="540633332">
    <w:abstractNumId w:val="1"/>
  </w:num>
  <w:num w:numId="5" w16cid:durableId="1213812470">
    <w:abstractNumId w:val="5"/>
  </w:num>
  <w:num w:numId="6" w16cid:durableId="624624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BF"/>
    <w:rsid w:val="0000401F"/>
    <w:rsid w:val="000244B2"/>
    <w:rsid w:val="00064C61"/>
    <w:rsid w:val="00076A3F"/>
    <w:rsid w:val="00091213"/>
    <w:rsid w:val="00094B9C"/>
    <w:rsid w:val="000B40C3"/>
    <w:rsid w:val="000C4DAF"/>
    <w:rsid w:val="0012154D"/>
    <w:rsid w:val="00161D03"/>
    <w:rsid w:val="001737ED"/>
    <w:rsid w:val="0018276D"/>
    <w:rsid w:val="0018399B"/>
    <w:rsid w:val="001C7B1F"/>
    <w:rsid w:val="001F4B6B"/>
    <w:rsid w:val="002027A8"/>
    <w:rsid w:val="00242778"/>
    <w:rsid w:val="0026090C"/>
    <w:rsid w:val="0026111D"/>
    <w:rsid w:val="00262279"/>
    <w:rsid w:val="00284016"/>
    <w:rsid w:val="00292EF1"/>
    <w:rsid w:val="002B7D41"/>
    <w:rsid w:val="002C11AA"/>
    <w:rsid w:val="002F4B36"/>
    <w:rsid w:val="00341C9A"/>
    <w:rsid w:val="003667FA"/>
    <w:rsid w:val="00384F37"/>
    <w:rsid w:val="003A03B4"/>
    <w:rsid w:val="003F7BE6"/>
    <w:rsid w:val="00411FA4"/>
    <w:rsid w:val="004213AF"/>
    <w:rsid w:val="00422B5F"/>
    <w:rsid w:val="004405BE"/>
    <w:rsid w:val="004570DB"/>
    <w:rsid w:val="00482730"/>
    <w:rsid w:val="004A1D09"/>
    <w:rsid w:val="0050120D"/>
    <w:rsid w:val="00513522"/>
    <w:rsid w:val="00522940"/>
    <w:rsid w:val="00540A8E"/>
    <w:rsid w:val="00545D5C"/>
    <w:rsid w:val="005A1C06"/>
    <w:rsid w:val="005C23B1"/>
    <w:rsid w:val="005E3A1C"/>
    <w:rsid w:val="00623E18"/>
    <w:rsid w:val="00641E6C"/>
    <w:rsid w:val="006450B3"/>
    <w:rsid w:val="00662AD3"/>
    <w:rsid w:val="00683CE9"/>
    <w:rsid w:val="00690912"/>
    <w:rsid w:val="006A5147"/>
    <w:rsid w:val="006F4190"/>
    <w:rsid w:val="007317AD"/>
    <w:rsid w:val="00731DAA"/>
    <w:rsid w:val="007333EA"/>
    <w:rsid w:val="00742333"/>
    <w:rsid w:val="007431A1"/>
    <w:rsid w:val="007550EC"/>
    <w:rsid w:val="00782B8B"/>
    <w:rsid w:val="007C2A7B"/>
    <w:rsid w:val="007C3C15"/>
    <w:rsid w:val="007D092B"/>
    <w:rsid w:val="007D219E"/>
    <w:rsid w:val="007E2C39"/>
    <w:rsid w:val="007F5B02"/>
    <w:rsid w:val="007F66BF"/>
    <w:rsid w:val="008105FD"/>
    <w:rsid w:val="00811986"/>
    <w:rsid w:val="00815AD1"/>
    <w:rsid w:val="0081647C"/>
    <w:rsid w:val="00821E34"/>
    <w:rsid w:val="00854AC8"/>
    <w:rsid w:val="00896AC5"/>
    <w:rsid w:val="0090367B"/>
    <w:rsid w:val="00921163"/>
    <w:rsid w:val="00922D1D"/>
    <w:rsid w:val="009455C6"/>
    <w:rsid w:val="00963A47"/>
    <w:rsid w:val="009844E6"/>
    <w:rsid w:val="009922AF"/>
    <w:rsid w:val="0099332C"/>
    <w:rsid w:val="009C2959"/>
    <w:rsid w:val="009E0E38"/>
    <w:rsid w:val="009F24BB"/>
    <w:rsid w:val="00A414DC"/>
    <w:rsid w:val="00A5780A"/>
    <w:rsid w:val="00A70BBA"/>
    <w:rsid w:val="00A826B3"/>
    <w:rsid w:val="00A85389"/>
    <w:rsid w:val="00A87E8E"/>
    <w:rsid w:val="00AA79F9"/>
    <w:rsid w:val="00AE3D0B"/>
    <w:rsid w:val="00B24912"/>
    <w:rsid w:val="00B3130B"/>
    <w:rsid w:val="00B50E2F"/>
    <w:rsid w:val="00B76439"/>
    <w:rsid w:val="00B82B8D"/>
    <w:rsid w:val="00BB16EC"/>
    <w:rsid w:val="00BC2A83"/>
    <w:rsid w:val="00BD4F65"/>
    <w:rsid w:val="00C13F8D"/>
    <w:rsid w:val="00C348EA"/>
    <w:rsid w:val="00C65110"/>
    <w:rsid w:val="00C657C2"/>
    <w:rsid w:val="00D0755E"/>
    <w:rsid w:val="00D16320"/>
    <w:rsid w:val="00D21BDB"/>
    <w:rsid w:val="00D25C7D"/>
    <w:rsid w:val="00D37A9B"/>
    <w:rsid w:val="00D60A87"/>
    <w:rsid w:val="00D614A3"/>
    <w:rsid w:val="00D61C8B"/>
    <w:rsid w:val="00D64888"/>
    <w:rsid w:val="00D871F4"/>
    <w:rsid w:val="00DA3504"/>
    <w:rsid w:val="00DB4C4D"/>
    <w:rsid w:val="00DE103E"/>
    <w:rsid w:val="00E07B18"/>
    <w:rsid w:val="00E259C7"/>
    <w:rsid w:val="00E35A3D"/>
    <w:rsid w:val="00EB65BE"/>
    <w:rsid w:val="00F32AD7"/>
    <w:rsid w:val="00F33C44"/>
    <w:rsid w:val="00F427C7"/>
    <w:rsid w:val="00FD4101"/>
    <w:rsid w:val="00FD6523"/>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8DCF"/>
  <w15:chartTrackingRefBased/>
  <w15:docId w15:val="{A01B60D4-50A4-427B-9837-A65402AD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6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6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6BF"/>
    <w:rPr>
      <w:rFonts w:eastAsiaTheme="majorEastAsia" w:cstheme="majorBidi"/>
      <w:color w:val="272727" w:themeColor="text1" w:themeTint="D8"/>
    </w:rPr>
  </w:style>
  <w:style w:type="paragraph" w:styleId="Title">
    <w:name w:val="Title"/>
    <w:basedOn w:val="Normal"/>
    <w:next w:val="Normal"/>
    <w:link w:val="TitleChar"/>
    <w:uiPriority w:val="10"/>
    <w:qFormat/>
    <w:rsid w:val="007F6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6BF"/>
    <w:pPr>
      <w:spacing w:before="160"/>
      <w:jc w:val="center"/>
    </w:pPr>
    <w:rPr>
      <w:i/>
      <w:iCs/>
      <w:color w:val="404040" w:themeColor="text1" w:themeTint="BF"/>
    </w:rPr>
  </w:style>
  <w:style w:type="character" w:customStyle="1" w:styleId="QuoteChar">
    <w:name w:val="Quote Char"/>
    <w:basedOn w:val="DefaultParagraphFont"/>
    <w:link w:val="Quote"/>
    <w:uiPriority w:val="29"/>
    <w:rsid w:val="007F66BF"/>
    <w:rPr>
      <w:i/>
      <w:iCs/>
      <w:color w:val="404040" w:themeColor="text1" w:themeTint="BF"/>
    </w:rPr>
  </w:style>
  <w:style w:type="paragraph" w:styleId="ListParagraph">
    <w:name w:val="List Paragraph"/>
    <w:basedOn w:val="Normal"/>
    <w:uiPriority w:val="34"/>
    <w:qFormat/>
    <w:rsid w:val="007F66BF"/>
    <w:pPr>
      <w:ind w:left="720"/>
      <w:contextualSpacing/>
    </w:pPr>
  </w:style>
  <w:style w:type="character" w:styleId="IntenseEmphasis">
    <w:name w:val="Intense Emphasis"/>
    <w:basedOn w:val="DefaultParagraphFont"/>
    <w:uiPriority w:val="21"/>
    <w:qFormat/>
    <w:rsid w:val="007F66BF"/>
    <w:rPr>
      <w:i/>
      <w:iCs/>
      <w:color w:val="0F4761" w:themeColor="accent1" w:themeShade="BF"/>
    </w:rPr>
  </w:style>
  <w:style w:type="paragraph" w:styleId="IntenseQuote">
    <w:name w:val="Intense Quote"/>
    <w:basedOn w:val="Normal"/>
    <w:next w:val="Normal"/>
    <w:link w:val="IntenseQuoteChar"/>
    <w:uiPriority w:val="30"/>
    <w:qFormat/>
    <w:rsid w:val="007F6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6BF"/>
    <w:rPr>
      <w:i/>
      <w:iCs/>
      <w:color w:val="0F4761" w:themeColor="accent1" w:themeShade="BF"/>
    </w:rPr>
  </w:style>
  <w:style w:type="character" w:styleId="IntenseReference">
    <w:name w:val="Intense Reference"/>
    <w:basedOn w:val="DefaultParagraphFont"/>
    <w:uiPriority w:val="32"/>
    <w:qFormat/>
    <w:rsid w:val="007F66BF"/>
    <w:rPr>
      <w:b/>
      <w:bCs/>
      <w:smallCaps/>
      <w:color w:val="0F4761" w:themeColor="accent1" w:themeShade="BF"/>
      <w:spacing w:val="5"/>
    </w:rPr>
  </w:style>
  <w:style w:type="character" w:styleId="Hyperlink">
    <w:name w:val="Hyperlink"/>
    <w:basedOn w:val="DefaultParagraphFont"/>
    <w:uiPriority w:val="99"/>
    <w:unhideWhenUsed/>
    <w:rsid w:val="007F66BF"/>
    <w:rPr>
      <w:color w:val="467886" w:themeColor="hyperlink"/>
      <w:u w:val="single"/>
    </w:rPr>
  </w:style>
  <w:style w:type="character" w:styleId="UnresolvedMention">
    <w:name w:val="Unresolved Mention"/>
    <w:basedOn w:val="DefaultParagraphFont"/>
    <w:uiPriority w:val="99"/>
    <w:semiHidden/>
    <w:unhideWhenUsed/>
    <w:rsid w:val="007F66BF"/>
    <w:rPr>
      <w:color w:val="605E5C"/>
      <w:shd w:val="clear" w:color="auto" w:fill="E1DFDD"/>
    </w:rPr>
  </w:style>
  <w:style w:type="character" w:styleId="FollowedHyperlink">
    <w:name w:val="FollowedHyperlink"/>
    <w:basedOn w:val="DefaultParagraphFont"/>
    <w:uiPriority w:val="99"/>
    <w:semiHidden/>
    <w:unhideWhenUsed/>
    <w:rsid w:val="007E2C39"/>
    <w:rPr>
      <w:color w:val="96607D" w:themeColor="followedHyperlink"/>
      <w:u w:val="single"/>
    </w:rPr>
  </w:style>
  <w:style w:type="paragraph" w:styleId="Header">
    <w:name w:val="header"/>
    <w:basedOn w:val="Normal"/>
    <w:link w:val="HeaderChar"/>
    <w:uiPriority w:val="99"/>
    <w:unhideWhenUsed/>
    <w:rsid w:val="006F4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90"/>
  </w:style>
  <w:style w:type="paragraph" w:styleId="Footer">
    <w:name w:val="footer"/>
    <w:basedOn w:val="Normal"/>
    <w:link w:val="FooterChar"/>
    <w:uiPriority w:val="99"/>
    <w:unhideWhenUsed/>
    <w:rsid w:val="006F4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76615">
      <w:bodyDiv w:val="1"/>
      <w:marLeft w:val="0"/>
      <w:marRight w:val="0"/>
      <w:marTop w:val="0"/>
      <w:marBottom w:val="0"/>
      <w:divBdr>
        <w:top w:val="none" w:sz="0" w:space="0" w:color="auto"/>
        <w:left w:val="none" w:sz="0" w:space="0" w:color="auto"/>
        <w:bottom w:val="none" w:sz="0" w:space="0" w:color="auto"/>
        <w:right w:val="none" w:sz="0" w:space="0" w:color="auto"/>
      </w:divBdr>
    </w:div>
    <w:div w:id="717363250">
      <w:bodyDiv w:val="1"/>
      <w:marLeft w:val="0"/>
      <w:marRight w:val="0"/>
      <w:marTop w:val="0"/>
      <w:marBottom w:val="0"/>
      <w:divBdr>
        <w:top w:val="none" w:sz="0" w:space="0" w:color="auto"/>
        <w:left w:val="none" w:sz="0" w:space="0" w:color="auto"/>
        <w:bottom w:val="none" w:sz="0" w:space="0" w:color="auto"/>
        <w:right w:val="none" w:sz="0" w:space="0" w:color="auto"/>
      </w:divBdr>
    </w:div>
    <w:div w:id="1104884493">
      <w:bodyDiv w:val="1"/>
      <w:marLeft w:val="0"/>
      <w:marRight w:val="0"/>
      <w:marTop w:val="0"/>
      <w:marBottom w:val="0"/>
      <w:divBdr>
        <w:top w:val="none" w:sz="0" w:space="0" w:color="auto"/>
        <w:left w:val="none" w:sz="0" w:space="0" w:color="auto"/>
        <w:bottom w:val="none" w:sz="0" w:space="0" w:color="auto"/>
        <w:right w:val="none" w:sz="0" w:space="0" w:color="auto"/>
      </w:divBdr>
    </w:div>
    <w:div w:id="1155074173">
      <w:bodyDiv w:val="1"/>
      <w:marLeft w:val="0"/>
      <w:marRight w:val="0"/>
      <w:marTop w:val="0"/>
      <w:marBottom w:val="0"/>
      <w:divBdr>
        <w:top w:val="none" w:sz="0" w:space="0" w:color="auto"/>
        <w:left w:val="none" w:sz="0" w:space="0" w:color="auto"/>
        <w:bottom w:val="none" w:sz="0" w:space="0" w:color="auto"/>
        <w:right w:val="none" w:sz="0" w:space="0" w:color="auto"/>
      </w:divBdr>
    </w:div>
    <w:div w:id="1164199511">
      <w:bodyDiv w:val="1"/>
      <w:marLeft w:val="0"/>
      <w:marRight w:val="0"/>
      <w:marTop w:val="0"/>
      <w:marBottom w:val="0"/>
      <w:divBdr>
        <w:top w:val="none" w:sz="0" w:space="0" w:color="auto"/>
        <w:left w:val="none" w:sz="0" w:space="0" w:color="auto"/>
        <w:bottom w:val="none" w:sz="0" w:space="0" w:color="auto"/>
        <w:right w:val="none" w:sz="0" w:space="0" w:color="auto"/>
      </w:divBdr>
    </w:div>
    <w:div w:id="1968125457">
      <w:bodyDiv w:val="1"/>
      <w:marLeft w:val="0"/>
      <w:marRight w:val="0"/>
      <w:marTop w:val="0"/>
      <w:marBottom w:val="0"/>
      <w:divBdr>
        <w:top w:val="none" w:sz="0" w:space="0" w:color="auto"/>
        <w:left w:val="none" w:sz="0" w:space="0" w:color="auto"/>
        <w:bottom w:val="none" w:sz="0" w:space="0" w:color="auto"/>
        <w:right w:val="none" w:sz="0" w:space="0" w:color="auto"/>
      </w:divBdr>
    </w:div>
    <w:div w:id="21234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grantsapplicationandmanagement.workforcegps.org/resources/2022/11/16/16/59/SMART__;!!J30X0ZrnC1oQtbA!Pv31hJmoUoUSRQtsTUfRRSKx376LOZdZKj5eQ2J49AEbwMZgT0nFNhZeqWaano4vkSWEky30boJ0jd2Hv37E-2CnEJy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l.gov/agencies/eta/grants/resources/uniform-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l.gov/agencies/eta/grants/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4" ma:contentTypeDescription="Create a new document." ma:contentTypeScope="" ma:versionID="f6773994c016d180f28e8f81c46fc67b">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bad7e649da01345a61965548882fcbbd"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bjectDetectorVersions" minOccurs="0"/>
                <xsd:element ref="ns4:_activity" minOccurs="0"/>
                <xsd:element ref="ns4:MediaServiceGenerationTime" minOccurs="0"/>
                <xsd:element ref="ns4:MediaServiceEventHashCode"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AB153-0954-4E52-811B-CC09DD93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891CD-5D98-4180-8B91-12D5315FC3E4}">
  <ds:schemaRefs>
    <ds:schemaRef ds:uri="http://schemas.microsoft.com/office/2006/metadata/properties"/>
    <ds:schemaRef ds:uri="http://schemas.microsoft.com/office/infopath/2007/PartnerControls"/>
    <ds:schemaRef ds:uri="5fc2c4dc-e240-403f-bafc-ccfdc66f7669"/>
  </ds:schemaRefs>
</ds:datastoreItem>
</file>

<file path=customXml/itemProps3.xml><?xml version="1.0" encoding="utf-8"?>
<ds:datastoreItem xmlns:ds="http://schemas.openxmlformats.org/officeDocument/2006/customXml" ds:itemID="{07829C0B-B209-42E9-9CD6-2B3536A12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OIA njdol Internal document</dc:title>
  <dc:subject/>
  <dc:creator>Dow, Luz [DOL]</dc:creator>
  <cp:keywords/>
  <dc:description/>
  <cp:lastModifiedBy>O'Neill McGuire, Kelly</cp:lastModifiedBy>
  <cp:revision>2</cp:revision>
  <dcterms:created xsi:type="dcterms:W3CDTF">2025-02-20T21:25:00Z</dcterms:created>
  <dcterms:modified xsi:type="dcterms:W3CDTF">2025-02-20T21:25:00Z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